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r>
        <w:rPr>
          <w:rFonts w:ascii="Helvetica" w:hAnsi="Helvetica"/>
          <w:b/>
          <w:color w:val="1D2129"/>
          <w:sz w:val="21"/>
          <w:szCs w:val="21"/>
        </w:rPr>
        <w:t>ПРИКЛАД КИЄВА</w:t>
      </w:r>
      <w:bookmarkStart w:id="0" w:name="_GoBack"/>
      <w:bookmarkEnd w:id="0"/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 w:rsidRPr="005E05D9">
        <w:rPr>
          <w:rFonts w:ascii="Helvetica" w:hAnsi="Helvetica"/>
          <w:b/>
          <w:color w:val="1D2129"/>
          <w:sz w:val="21"/>
          <w:szCs w:val="21"/>
        </w:rPr>
        <w:t>Якщо</w:t>
      </w:r>
      <w:proofErr w:type="spellEnd"/>
      <w:r w:rsidRPr="005E05D9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5E05D9">
        <w:rPr>
          <w:rFonts w:ascii="Helvetica" w:hAnsi="Helvetica"/>
          <w:b/>
          <w:color w:val="1D2129"/>
          <w:sz w:val="21"/>
          <w:szCs w:val="21"/>
        </w:rPr>
        <w:t>ви</w:t>
      </w:r>
      <w:proofErr w:type="spellEnd"/>
      <w:r w:rsidRPr="005E05D9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5E05D9">
        <w:rPr>
          <w:rFonts w:ascii="Helvetica" w:hAnsi="Helvetica"/>
          <w:b/>
          <w:color w:val="1D2129"/>
          <w:sz w:val="21"/>
          <w:szCs w:val="21"/>
        </w:rPr>
        <w:t>хочете</w:t>
      </w:r>
      <w:proofErr w:type="spellEnd"/>
      <w:r w:rsidRPr="005E05D9">
        <w:rPr>
          <w:rFonts w:ascii="Helvetica" w:hAnsi="Helvetica"/>
          <w:b/>
          <w:color w:val="1D2129"/>
          <w:sz w:val="21"/>
          <w:szCs w:val="21"/>
        </w:rPr>
        <w:t>:</w:t>
      </w:r>
      <w:r w:rsidRPr="005E05D9">
        <w:rPr>
          <w:rFonts w:ascii="Helvetica" w:hAnsi="Helvetica"/>
          <w:b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t xml:space="preserve">—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офіційно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волі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саме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вами суму грошей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своєму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садочку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школі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якийсь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конкретний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проект (ремонт,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купівлю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обладнання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тощо</w:t>
      </w:r>
      <w:proofErr w:type="spellEnd"/>
      <w:r>
        <w:rPr>
          <w:rFonts w:ascii="Helvetica" w:hAnsi="Helvetica"/>
          <w:color w:val="1D2129"/>
          <w:sz w:val="21"/>
          <w:szCs w:val="21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  <w:t xml:space="preserve">—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офіційно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волі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виписати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премію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улюбленому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вчителю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вихователю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навіть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директору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якесь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досягнення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просто так</w:t>
      </w:r>
      <w:r>
        <w:rPr>
          <w:rFonts w:ascii="Helvetica" w:hAnsi="Helvetica"/>
          <w:color w:val="1D2129"/>
          <w:sz w:val="21"/>
          <w:szCs w:val="21"/>
        </w:rPr>
        <w:br/>
        <w:t xml:space="preserve">—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гарантію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витратять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саме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те,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хочете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—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звіт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те, як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витратили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гроші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—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клопоту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відкриттям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фонду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громадської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організації</w:t>
      </w:r>
      <w:proofErr w:type="spellEnd"/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Важлива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примітка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  <w:r>
        <w:rPr>
          <w:rFonts w:ascii="Helvetica" w:hAnsi="Helvetica"/>
          <w:color w:val="1D2129"/>
          <w:sz w:val="21"/>
          <w:szCs w:val="21"/>
        </w:rPr>
        <w:br/>
        <w:t xml:space="preserve">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Києві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більшість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комунальних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дитячих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садочків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бухгалтерії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за них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бухгалтерію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веде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районне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управління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(РУО). Тому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садочків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транзакції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йдуть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через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РУО.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Деякі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школи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мають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бухгалтерію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деякі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— </w:t>
      </w:r>
      <w:proofErr w:type="spellStart"/>
      <w:r>
        <w:rPr>
          <w:rFonts w:ascii="Helvetica" w:hAnsi="Helvetica"/>
          <w:color w:val="1D2129"/>
          <w:sz w:val="21"/>
          <w:szCs w:val="21"/>
        </w:rPr>
        <w:t>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школа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бухгалтерію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реквізити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шкільного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спецрахунку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допомоги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спитати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бухгалтерії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дізнатися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через запит до РУО на доступ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публічної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інформації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надіслати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один мейл).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А.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Офіційна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премія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вихователю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дитячого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садка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вчителю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школи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(алгоритм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перевірено</w:t>
      </w:r>
      <w:proofErr w:type="spellEnd"/>
      <w:r>
        <w:rPr>
          <w:rFonts w:ascii="Helvetica" w:hAnsi="Helvetica"/>
          <w:color w:val="1D2129"/>
          <w:sz w:val="21"/>
          <w:szCs w:val="21"/>
        </w:rPr>
        <w:t>).</w:t>
      </w:r>
      <w:r>
        <w:rPr>
          <w:rFonts w:ascii="Helvetica" w:hAnsi="Helvetica"/>
          <w:color w:val="1D2129"/>
          <w:sz w:val="21"/>
          <w:szCs w:val="21"/>
        </w:rPr>
        <w:br/>
        <w:t xml:space="preserve">1.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Відкриваєте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таблицю</w:t>
      </w:r>
      <w:proofErr w:type="spellEnd"/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"https://bit.ly/ruo-kyiv?fbclid=IwAR3wB41mCL66WouSmsiIsnQesC7R-r2k2M5L4X5vTnrsJoX1ih2vKGOzbJ8"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bit.ly/</w:t>
      </w:r>
      <w:proofErr w:type="spellStart"/>
      <w:r>
        <w:rPr>
          <w:rStyle w:val="a4"/>
          <w:rFonts w:ascii="inherit" w:hAnsi="inherit"/>
          <w:color w:val="365899"/>
          <w:sz w:val="21"/>
          <w:szCs w:val="21"/>
          <w:u w:val="none"/>
        </w:rPr>
        <w:t>ruo-kyiv</w:t>
      </w:r>
      <w:proofErr w:type="spellEnd"/>
      <w:r>
        <w:rPr>
          <w:rFonts w:ascii="Helvetica" w:hAnsi="Helvetica"/>
          <w:color w:val="1D2129"/>
          <w:sz w:val="21"/>
          <w:szCs w:val="21"/>
        </w:rPr>
        <w:fldChar w:fldCharType="end"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йдете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вкладку «Для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дитсадків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»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«Для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шкіл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»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знаходите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свій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район.</w:t>
      </w:r>
      <w:r>
        <w:rPr>
          <w:rFonts w:ascii="Helvetica" w:hAnsi="Helvetica"/>
          <w:color w:val="1D2129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Відкриваєте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свій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інтернет-банкінг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створюєте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новий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платіж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копіюєте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реквізити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таблиці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>3. В поле «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Призначення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платежу»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копіюєте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текст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стовпчика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таблиці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підставляєте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прізвище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ініціали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вихователя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вчителя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також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номер закладу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Наприклад</w:t>
      </w:r>
      <w:proofErr w:type="spellEnd"/>
      <w:r>
        <w:rPr>
          <w:rFonts w:ascii="Helvetica" w:hAnsi="Helvetica"/>
          <w:color w:val="1D2129"/>
          <w:sz w:val="21"/>
          <w:szCs w:val="21"/>
        </w:rPr>
        <w:t>: «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виплати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премії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ЗП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вихователю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Прізвище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І. П. (ДНЗ№??), без ПДВ.» </w:t>
      </w:r>
      <w:proofErr w:type="spellStart"/>
      <w:r>
        <w:rPr>
          <w:rFonts w:ascii="Helvetica" w:hAnsi="Helvetica"/>
          <w:color w:val="1D2129"/>
          <w:sz w:val="21"/>
          <w:szCs w:val="21"/>
        </w:rPr>
        <w:t>Це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гарантія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того,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ваш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внесок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витратять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саме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те,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написали.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чітко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зазначите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призначення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то директор закладу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бухгалтерія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РУО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самостійно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визначатиме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як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витратити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4. Проводите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платіж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Опціонально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зберігаєте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платіж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як шаблон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робите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автоматичним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певною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регулярністю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5.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платежу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утримають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  <w:r>
        <w:rPr>
          <w:rFonts w:ascii="Helvetica" w:hAnsi="Helvetica"/>
          <w:color w:val="1D2129"/>
          <w:sz w:val="21"/>
          <w:szCs w:val="21"/>
        </w:rPr>
        <w:br/>
        <w:t xml:space="preserve">— 22% </w:t>
      </w:r>
      <w:proofErr w:type="spellStart"/>
      <w:r>
        <w:rPr>
          <w:rFonts w:ascii="Helvetica" w:hAnsi="Helvetica"/>
          <w:color w:val="1D2129"/>
          <w:sz w:val="21"/>
          <w:szCs w:val="21"/>
        </w:rPr>
        <w:t>єдиного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соціального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підуть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лікарняні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освітянам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пенсії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колишнім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освітянам</w:t>
      </w:r>
      <w:proofErr w:type="spellEnd"/>
      <w:r>
        <w:rPr>
          <w:rFonts w:ascii="Helvetica" w:hAnsi="Helvetica"/>
          <w:color w:val="1D2129"/>
          <w:sz w:val="21"/>
          <w:szCs w:val="21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  <w:t xml:space="preserve">— 18%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податку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доходи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фізичних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осіб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підуть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ремонти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шкіл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садків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закупівлю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мийних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засобів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опалення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шкіл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садків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тощо</w:t>
      </w:r>
      <w:proofErr w:type="spellEnd"/>
      <w:r>
        <w:rPr>
          <w:rFonts w:ascii="Helvetica" w:hAnsi="Helvetica"/>
          <w:color w:val="1D2129"/>
          <w:sz w:val="21"/>
          <w:szCs w:val="21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  <w:t xml:space="preserve">— 1,5%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військового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збору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щоб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військових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було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все,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вас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захистити</w:t>
      </w:r>
      <w:proofErr w:type="spellEnd"/>
      <w:r>
        <w:rPr>
          <w:rFonts w:ascii="Helvetica" w:hAnsi="Helvetica"/>
          <w:color w:val="1D2129"/>
          <w:sz w:val="21"/>
          <w:szCs w:val="21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  <w:t xml:space="preserve">— 1%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профспілку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освітян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щоб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було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кому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організувати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мітинги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захисту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їхніх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прав, в тому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числі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достойну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оплату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праці</w:t>
      </w:r>
      <w:proofErr w:type="spellEnd"/>
      <w:r>
        <w:rPr>
          <w:rFonts w:ascii="Helvetica" w:hAnsi="Helvetica"/>
          <w:color w:val="1D2129"/>
          <w:sz w:val="21"/>
          <w:szCs w:val="21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  <w:t xml:space="preserve">6. Все,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залишиться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після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сплати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податків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приблизно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65%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початкової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суми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прийде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зарплатну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картку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вихователя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вчителя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день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зарплати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кінці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місяця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Те,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транзакція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дійсно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відбулася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зможете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переконатися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сайті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spending.gov.ua,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ввівши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назву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код ЄДРПОУ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управління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Б.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Грошова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конкретний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проект (ремонт,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обладнання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утеплення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)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школи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садка (алгоритм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перевірявся</w:t>
      </w:r>
      <w:proofErr w:type="spellEnd"/>
      <w:r>
        <w:rPr>
          <w:rFonts w:ascii="Helvetica" w:hAnsi="Helvetica"/>
          <w:color w:val="1D2129"/>
          <w:sz w:val="21"/>
          <w:szCs w:val="21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  <w:t xml:space="preserve">1.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Відкриваєте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таблицю</w:t>
      </w:r>
      <w:proofErr w:type="spellEnd"/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s%3A%2F%2Fbit.ly%2Fruo-kyiv%3Ffbclid%3DIwAR0hEGdiFgt7m6sXJnd8PiOQ5p2qcZszrMLNFCdwFhRfEnRfV9bbsYmNt3U&amp;h=AT214hUUCKBSgNWvYA4KDDDSrAGYH3lUgq4Jh7wO-2Uz97BVvqEr-BM6OY15nEaVshBobNWoilwXESJ6rAko35Hdhhq6Xdh5MozD0_yjaxbSxHus5Fz1XYv6UPDToFu1Jpv1K6K_eKTnDdZjK-UQZyMR7OGWYw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bit.ly/</w:t>
      </w:r>
      <w:proofErr w:type="spellStart"/>
      <w:r>
        <w:rPr>
          <w:rStyle w:val="a4"/>
          <w:rFonts w:ascii="inherit" w:hAnsi="inherit"/>
          <w:color w:val="365899"/>
          <w:sz w:val="21"/>
          <w:szCs w:val="21"/>
          <w:u w:val="none"/>
        </w:rPr>
        <w:t>ruo-kyiv</w:t>
      </w:r>
      <w:proofErr w:type="spellEnd"/>
      <w:r>
        <w:rPr>
          <w:rFonts w:ascii="Helvetica" w:hAnsi="Helvetica"/>
          <w:color w:val="1D2129"/>
          <w:sz w:val="21"/>
          <w:szCs w:val="21"/>
        </w:rPr>
        <w:fldChar w:fldCharType="end"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йдете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вкладку «Для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дитсадків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»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«Для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шкіл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»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знаходите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свій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район.</w:t>
      </w:r>
      <w:r>
        <w:rPr>
          <w:rFonts w:ascii="Helvetica" w:hAnsi="Helvetica"/>
          <w:color w:val="1D2129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Відкриваєте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свій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інтернет-банкінг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створюєте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новий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платіж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копіюєте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реквізити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таблиці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>3. В поле «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Призначення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платежу»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обов’язково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вписуєте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слова «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» +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якомога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конкретніше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саме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(«на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купівлю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штор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аудиторію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№77») + номер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садочка</w:t>
      </w:r>
      <w:proofErr w:type="spellEnd"/>
      <w:r>
        <w:rPr>
          <w:rFonts w:ascii="Helvetica" w:hAnsi="Helvetica"/>
          <w:color w:val="1D2129"/>
          <w:sz w:val="21"/>
          <w:szCs w:val="21"/>
        </w:rPr>
        <w:t>/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школи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Наприклад</w:t>
      </w:r>
      <w:proofErr w:type="spellEnd"/>
      <w:r>
        <w:rPr>
          <w:rFonts w:ascii="Helvetica" w:hAnsi="Helvetica"/>
          <w:color w:val="1D2129"/>
          <w:sz w:val="21"/>
          <w:szCs w:val="21"/>
        </w:rPr>
        <w:t>: «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допомога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ЗЗСО №123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купівлю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штор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аудиторію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№77».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4. Проводите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платіж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Опціонально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зберігаєте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платіж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як шаблон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робите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автоматичним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певною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регулярністю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5. Коли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набереться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потрібна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сума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цільових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наприклад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робили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тільки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але й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батьки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були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залишки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), РУО закупить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вказані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вами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товари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послуги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підпише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вибраним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через конкурс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постачальником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підрядником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договір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все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оплатить.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lastRenderedPageBreak/>
        <w:t>Закупівлю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усіма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документами і договорами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буде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побачити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сайті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prozorro.gov.ua,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ввівши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назву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код ЄДРПОУ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управління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Договори,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акти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виконаних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робіт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грошові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транзакції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по договору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буде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побачити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сайті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spending.gov.ua,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ввівши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назву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код ЄДРПОУ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управління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Тепер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законодавча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база.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Головне: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—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чітко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вказали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призначення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своєї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зможуть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витратити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лише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мету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ніяк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інакше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— Ви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законне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контролювати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цільове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— Заклад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РУО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зобов’язані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публікувати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своїх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сайтах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звіт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всіх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інформацію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перелік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товарів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робіт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послуг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як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допомога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зазначенням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їх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вартості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===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Частини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5 і 6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статті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6 закону «Про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діяльність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організації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>»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5.rada.gov.ua%2Flaws%2Fshow%2F5073-17%3Ffbclid%3DIwAR0d26iRUOhFC3tNOrWDXrskfff_jBltZtABS1J_Fj3XwQsx9Zq0pQHmA7s%23n63&amp;h=AT35dg_ElxubNirknlCOVsMY958XqkJnoTwsUHjqeNji0_y_f10ZPZRCaUuePIeTeFd4haflWVAgPeSeqBXC3bRO9l_shY6kEqsznXhT50dEYKGsvrCrWhJzMIZHBy7RV-dlzF_jirBmWFj7NRTTOFRwMwYg0A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http://zakon5.rada.gov.ua/laws/show/5073-17#n63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  <w:r>
        <w:rPr>
          <w:rFonts w:ascii="Helvetica" w:hAnsi="Helvetica"/>
          <w:color w:val="1D2129"/>
          <w:sz w:val="21"/>
          <w:szCs w:val="21"/>
        </w:rPr>
        <w:br/>
        <w:t xml:space="preserve">5.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Зміна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цілей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порядку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можлива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згодою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правонаступників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також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підставі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рішення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суду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випадках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законом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правочином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благодійника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6.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уповноважені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ним особи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мають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здійснювати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контроль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цільовим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у тому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числі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користь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третіх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осіб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===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Стаття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730 </w:t>
      </w:r>
      <w:proofErr w:type="spellStart"/>
      <w:r>
        <w:rPr>
          <w:rFonts w:ascii="Helvetica" w:hAnsi="Helvetica"/>
          <w:color w:val="1D2129"/>
          <w:sz w:val="21"/>
          <w:szCs w:val="21"/>
        </w:rPr>
        <w:t>Цивільного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кодексу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Права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пожертвувача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.rada.gov.ua%2Flaws%2Fshow%2F435-15%2Fprint%3Ffbclid%3DIwAR1rdmO4KudIGuoK8J515tBwYEikDS3CO9-0r2Y1mM-HTuiIuGErKWdLZ5o%23n3593&amp;h=AT0KGmcVajWrTBq_SGWI7m_GG-p9LaL7XRavlU6rnz7ymYluChuZZO4TyfLZm6RenY120p11Xvf4rTYtyDenodvI9JxWcZBVQqPf8wu5iwcmpuT66MvANsqf5Z8LXb9L_vw92aFNPDXu9aIoMTgYEX4A2coTIw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http://zakon.rada.gov.ua/laws/show/435-15/print#n3593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1.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Пожертвувач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здійснювати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контроль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мети,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встановленої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договором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пожертву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2.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призначенням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виявилося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неможливим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її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призначенням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можливе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лише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згодою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пожертвувача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а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разі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смерті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ліквідації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юридичної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особи -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рішенням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суду. &lt;...&gt;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===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Частина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3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статті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30 ЗУ «Про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освіту</w:t>
      </w:r>
      <w:proofErr w:type="spellEnd"/>
      <w:r>
        <w:rPr>
          <w:rFonts w:ascii="Helvetica" w:hAnsi="Helvetica"/>
          <w:color w:val="1D2129"/>
          <w:sz w:val="21"/>
          <w:szCs w:val="21"/>
        </w:rPr>
        <w:t>»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.rada.gov.ua%2Flaws%2Fshow%2F2145-19%3Ffbclid%3DIwAR3biuThm45SrNiLuK75-aW9PBpLKAvNNH29e8-pRqxdGzhLHsJfXaob124%23n465&amp;h=AT0tENIN9p5RKLYhWfmTPS08ySihbdghJ7VkJqlOyedFYMVMb56rDPN1dVMGwm2uf7Ro98BO_CECFR57k_7IU9i3tFZDloTWFyDUjowQ35uSghOP72yZpoiH_J-SbCcgDjpzy6DBOPX9Rz1NLE3Dd_-ND_jtAA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http://zakon.rada.gov.ua/laws/show/2145-19#n465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3.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Заклади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отримують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публічні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їх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засновники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зобов’язані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оприлюднювати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своїх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веб-сайтах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кошторис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фінансовий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звіт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всіх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інформацію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перелік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товарів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робіт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послуг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як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допомога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зазначенням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їх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вартості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також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джерел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заборонених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законодавством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===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Порядок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зарахування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Постанові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Кабінету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Міністрів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4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серпня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2000 р. N 1222 (</w:t>
      </w:r>
      <w:proofErr w:type="spellStart"/>
      <w:r>
        <w:rPr>
          <w:rFonts w:ascii="Helvetica" w:hAnsi="Helvetica"/>
          <w:color w:val="1D2129"/>
          <w:sz w:val="21"/>
          <w:szCs w:val="21"/>
        </w:rPr>
        <w:t>його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довгу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назву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можете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прочитати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лінком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.rada.gov.ua%2Flaws%2Fshow%2F1222-2000-%25D0%25BF%3Ffbclid%3DIwAR3_IERVc26mPWINAVzdxWTW-lmckBs3qVt48UfqRbUOQGy2MBXUOLtt-g8&amp;h=AT37u6xI1TbzL_3qUFdewJRLh9EBA1nFHhO3tb4jDiH63uA5UtuJi_f8piW_RisLqDux5jPG16ilNtXR7gZyZMYfadITG_W9ubNpRL7p0GMATR0sTc_Cach6D0kUbiDz5dVavPZjNBarzW6qqRyXUsHuQA5WiQ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http://zakon.rada.gov.ua/laws/show/1222-2000-%D0%BF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)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2.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можуть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надаватися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благодійниками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набувачам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грошовій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формі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потреб </w:t>
      </w:r>
      <w:proofErr w:type="spellStart"/>
      <w:r>
        <w:rPr>
          <w:rFonts w:ascii="Helvetica" w:hAnsi="Helvetica"/>
          <w:color w:val="1D2129"/>
          <w:sz w:val="21"/>
          <w:szCs w:val="21"/>
        </w:rPr>
        <w:t>їх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фінансування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напрямами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видатків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визначеними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благодійником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також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як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товари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послуги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благодійником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конкретні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цілі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шляхи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спрямування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визначаються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керівником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установи, закладу -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набувачів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першочергових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потреб,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пов'язаних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виключно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основною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діяльністю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установи, закладу.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Частина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як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добровільні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пожертви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юридичних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фізичних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осіб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спрямовуватися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виплату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заробітної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плати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працівників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закладів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освіти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&lt;...&gt;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кошторисів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зазначених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закладів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дотриманням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вимог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Закону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"Про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благодійництво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організації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" ( 531/97-ВР )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разі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коли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напрям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видатків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благодійником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3.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можуть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заміняти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плату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установами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закладами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платних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послуг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переліками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визначеними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установленому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порядку.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===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кодекс:</w:t>
      </w:r>
      <w:r>
        <w:rPr>
          <w:rFonts w:ascii="Helvetica" w:hAnsi="Helvetica"/>
          <w:color w:val="1D2129"/>
          <w:sz w:val="21"/>
          <w:szCs w:val="21"/>
        </w:rPr>
        <w:br/>
        <w:t xml:space="preserve">Коротко: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Гранти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дарунки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Бюджетного кодексу,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відносяться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при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цьому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класифікуються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як доходи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спеціального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фонду бюджету.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гранти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дарунки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використовуються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організацію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основної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діяльності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Створення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позабюджетних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фондів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установами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допускається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окрім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деяких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винятків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)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вважається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порушенням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Зарахування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випадку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вважаються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доходами бюджету) на будь-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крім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єдиного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казначейського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вважаються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порушенням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Стаття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 Бюджетного кодексу: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.rada.gov.ua%2Flaws%2Fshow%2F2456-17%2Fprint%3Ffbclid%3DIwAR1DAGN77_Iu3z11F6KOqSuiO4Qsy_Sk9U7OMtyPmDDuRyr1HXCGYOZowXQ%23n100&amp;h=AT0vTmJgAqN4XnCT7PBee8BVAdBL_dk7M5etriLZjMG6i5AzYuKcF5xS_4PUrsDMwcdjPsJIndnVygLGXsbcbd-Car32GlUBPG-VEtm3LqCqMyhVt6GYtihAhR0vJs102kURgfIdXOt0IEM_ZbTCdIxgiYxbQA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http://zakon.rada.gov.ua/laws/show/2456-17/print#n100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  <w:r>
        <w:rPr>
          <w:rFonts w:ascii="Helvetica" w:hAnsi="Helvetica"/>
          <w:color w:val="1D2129"/>
          <w:sz w:val="21"/>
          <w:szCs w:val="21"/>
        </w:rPr>
        <w:br/>
        <w:t xml:space="preserve">15)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установленому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порядку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установами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як плата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послуг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виконання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робіт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гранти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дарунки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також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реалізації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установленому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порядку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продукції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майна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діяльності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Fonts w:ascii="Helvetica" w:hAnsi="Helvetica"/>
          <w:color w:val="1D2129"/>
          <w:sz w:val="21"/>
          <w:szCs w:val="21"/>
        </w:rPr>
        <w:br/>
        <w:t xml:space="preserve">23) доходи бюджету -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податкові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неподаткові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безповоротній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основі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справляння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передбачено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законодавством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включаючи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трансферти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плату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адміністративних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послуг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>);</w:t>
      </w:r>
      <w:r>
        <w:rPr>
          <w:rFonts w:ascii="Helvetica" w:hAnsi="Helvetica"/>
          <w:color w:val="1D2129"/>
          <w:sz w:val="21"/>
          <w:szCs w:val="21"/>
        </w:rPr>
        <w:br/>
        <w:t>===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Стаття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69-1 Бюджетного кодексу: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спеціального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фонду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місцевих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бюджетів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1.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спеціального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фонду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місцевих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належать:</w:t>
      </w:r>
      <w:r>
        <w:rPr>
          <w:rFonts w:ascii="Helvetica" w:hAnsi="Helvetica"/>
          <w:color w:val="1D2129"/>
          <w:sz w:val="21"/>
          <w:szCs w:val="21"/>
        </w:rPr>
        <w:br/>
        <w:t xml:space="preserve">6)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утримуються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рахунок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місцевого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бюджету;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.rada.gov.ua%2Flaws%2Fshow%2F2456-17%2Fprint%3Ffbclid%3DIwAR2NOu1T4WqyICdimrFb5vlj2gOb--eySh0Sv731CjeuZu8PI6EsJpA1rdI%23n2297&amp;h=AT2qP87wXQK3kJtyEBBWGyuRgGXHopSN0t-xFnXMgqkelS6OL46fBbh3NLS87LtOfwRd3Ct0ySC3BOPo8P3Lm2ORgyo8TMBWZOpDQ7jqdIytp8wa_RuWnqK8oOvboat6J1BJK6O6F_vENBiY64DFklW_4UnD1g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http://zakon.rada.gov.ua/laws/show/2456-17/print#n2297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  <w:r>
        <w:rPr>
          <w:rFonts w:ascii="Helvetica" w:hAnsi="Helvetica"/>
          <w:color w:val="1D2129"/>
          <w:sz w:val="21"/>
          <w:szCs w:val="21"/>
        </w:rPr>
        <w:br/>
        <w:t>===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Стаття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13 Бюджетного кодексу: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Складові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частини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бюджету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.rada.gov.ua%2Flaws%2Fshow%2F2456-17%2Fprint%3Ffbclid%3DIwAR0n_0B6AEvbruks_NM6wXnU5o3pCNuR6bj_i21o_scwgB4mjmnDY2evu1A%23n261&amp;h=AT15PyvkpW7VPD2S7-8fmYMIIuqzQ_o1BMR0Pqaw6A2vsmDycvbKRJTvv6hJS020nrsxZGn3gCTNr-QpRjxL_TTA2WolsJGgxl0Ch1Y03I1gD1S_ZkHju6ms1eySWxQ5BR6i7l8yFayWB3dINhqABb7iQVGxKw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http://zakon.rada.gov.ua/laws/show/2456-17/print#n261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  <w:r>
        <w:rPr>
          <w:rFonts w:ascii="Helvetica" w:hAnsi="Helvetica"/>
          <w:color w:val="1D2129"/>
          <w:sz w:val="21"/>
          <w:szCs w:val="21"/>
        </w:rPr>
        <w:br/>
        <w:t xml:space="preserve">4.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отримуються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додатково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загального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фонду бюджету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включаються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спеціального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фонду бюджету.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поділяються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групи</w:t>
      </w:r>
      <w:proofErr w:type="spellEnd"/>
      <w:r>
        <w:rPr>
          <w:rFonts w:ascii="Helvetica" w:hAnsi="Helvetica"/>
          <w:color w:val="1D2129"/>
          <w:sz w:val="21"/>
          <w:szCs w:val="21"/>
        </w:rPr>
        <w:t>: &lt;...&gt;</w:t>
      </w:r>
      <w:r>
        <w:rPr>
          <w:rFonts w:ascii="Helvetica" w:hAnsi="Helvetica"/>
          <w:color w:val="1D2129"/>
          <w:sz w:val="21"/>
          <w:szCs w:val="21"/>
        </w:rPr>
        <w:br/>
        <w:t xml:space="preserve">друга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група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джерела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власних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складі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другої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групи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виділяються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підгрупи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підгрупа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1 -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благодійні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внески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гранти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дарунки</w:t>
      </w:r>
      <w:proofErr w:type="spellEnd"/>
      <w:r>
        <w:rPr>
          <w:rFonts w:ascii="Helvetica" w:hAnsi="Helvetica"/>
          <w:color w:val="1D2129"/>
          <w:sz w:val="21"/>
          <w:szCs w:val="21"/>
        </w:rPr>
        <w:t>; &lt;...&gt;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Власні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використовуються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(з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урахуванням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частини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дев'ятої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статті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51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цього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Кодексу) на: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організацію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основної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діяльності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рахунок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підгруп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1, 3 і 4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другої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групи</w:t>
      </w:r>
      <w:proofErr w:type="spellEnd"/>
      <w:r>
        <w:rPr>
          <w:rFonts w:ascii="Helvetica" w:hAnsi="Helvetica"/>
          <w:color w:val="1D2129"/>
          <w:sz w:val="21"/>
          <w:szCs w:val="21"/>
        </w:rPr>
        <w:t>);</w:t>
      </w:r>
    </w:p>
    <w:p w:rsidR="005E05D9" w:rsidRDefault="005E05D9" w:rsidP="005E05D9">
      <w:pPr>
        <w:pStyle w:val="a3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9.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Створення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позабюджетних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фондів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органами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державної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влади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органами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влади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Автономної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Республіки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Крим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органами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місцевого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самоврядування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іншими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установами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допускається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.rada.gov.ua%2Flaws%2Fshow%2F2456-17%2Fprint%3Ffbclid%3DIwAR1HcIocba1SLeczGShTHPqBvydprGCxdM3k8q9Z3qPTGgLAVLjyXfXqF1w%23n288&amp;h=AT1dbiEVNh2XIZTUB3FPYCxjsnRdsZzau1P_-HFXUicgxIhc-cl5W0M_IiHqozeHPa20sEnf_nnDHFvN-ys9vcDsYB58TfSUuSL6CGbuUaLMjGrvkbE99LBQX3OETj6A4_h-HbANwLnzeae85jtw9nJYAUL7li0FO4sO84xUlI0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http://zakon.rada.gov.ua/laws/show/2456-17/print#n288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</w:p>
    <w:p w:rsidR="005E05D9" w:rsidRDefault="005E05D9" w:rsidP="005E05D9">
      <w:pPr>
        <w:pStyle w:val="a3"/>
        <w:spacing w:before="9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==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Стаття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116.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Порушення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бюджетного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законодавства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fldChar w:fldCharType="begin"/>
      </w:r>
      <w:r>
        <w:rPr>
          <w:rFonts w:ascii="Helvetica" w:hAnsi="Helvetica"/>
          <w:color w:val="1D2129"/>
          <w:sz w:val="21"/>
          <w:szCs w:val="21"/>
        </w:rPr>
        <w:instrText xml:space="preserve"> HYPERLINK "https://l.facebook.com/l.php?u=http%3A%2F%2Fzakon.rada.gov.ua%2Flaws%2Fshow%2F2456-17%2Fprint%3Ffbclid%3DIwAR2Flzof0xHQUFEPcBsKyaZwmjBgDD_dPytwEcMr7cRAsFMEdvzIPikR9Aw%23n1746&amp;h=AT0d3kGGS936jbOvp4auVs5ACn2_hp8xxwEftClTEuGpIN59yNMglBPP0KByNaMEVKFYHg_scAP0L5QwtIrBVjTBJ4qwFDIxuZ0ItmN-BLLrbCwatlTlLpkbvBvD4Ug4pvm_-fu1EVBCl2c7ZpY0DA_KJpoqzw" \t "_blank" </w:instrText>
      </w:r>
      <w:r>
        <w:rPr>
          <w:rFonts w:ascii="Helvetica" w:hAnsi="Helvetica"/>
          <w:color w:val="1D2129"/>
          <w:sz w:val="21"/>
          <w:szCs w:val="21"/>
        </w:rPr>
      </w:r>
      <w:r>
        <w:rPr>
          <w:rFonts w:ascii="Helvetica" w:hAnsi="Helvetica"/>
          <w:color w:val="1D2129"/>
          <w:sz w:val="21"/>
          <w:szCs w:val="21"/>
        </w:rPr>
        <w:fldChar w:fldCharType="separate"/>
      </w:r>
      <w:r>
        <w:rPr>
          <w:rStyle w:val="a4"/>
          <w:rFonts w:ascii="inherit" w:hAnsi="inherit"/>
          <w:color w:val="365899"/>
          <w:sz w:val="21"/>
          <w:szCs w:val="21"/>
          <w:u w:val="none"/>
        </w:rPr>
        <w:t>http://zakon.rada.gov.ua/laws/show/2456-17/print#n1746</w:t>
      </w:r>
      <w:r>
        <w:rPr>
          <w:rFonts w:ascii="Helvetica" w:hAnsi="Helvetica"/>
          <w:color w:val="1D2129"/>
          <w:sz w:val="21"/>
          <w:szCs w:val="21"/>
        </w:rPr>
        <w:fldChar w:fldCharType="end"/>
      </w:r>
      <w:r>
        <w:rPr>
          <w:rFonts w:ascii="Helvetica" w:hAnsi="Helvetica"/>
          <w:color w:val="1D2129"/>
          <w:sz w:val="21"/>
          <w:szCs w:val="21"/>
        </w:rPr>
        <w:br/>
        <w:t xml:space="preserve">10)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зарахування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доходів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бюджету на будь-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крім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єдиного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казначейського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(&lt;...&gt;), 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також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акумулювання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їх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рахунках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органів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контролюють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справляння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надходжень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бюджету;</w:t>
      </w:r>
      <w:r>
        <w:rPr>
          <w:rFonts w:ascii="Helvetica" w:hAnsi="Helvetica"/>
          <w:color w:val="1D2129"/>
          <w:sz w:val="21"/>
          <w:szCs w:val="21"/>
        </w:rPr>
        <w:br/>
        <w:t xml:space="preserve">15)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створення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позабюджетних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фондів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порушення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вимог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цього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Кодексу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щодо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відкриття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позабюджетних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рахунків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розміщення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бюджетних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коштів</w:t>
      </w:r>
      <w:proofErr w:type="spellEnd"/>
    </w:p>
    <w:p w:rsidR="00C60F42" w:rsidRDefault="00C60F42"/>
    <w:sectPr w:rsidR="00C60F42" w:rsidSect="000707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9"/>
    <w:rsid w:val="0007073D"/>
    <w:rsid w:val="005E05D9"/>
    <w:rsid w:val="00C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E1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E05D9"/>
  </w:style>
  <w:style w:type="character" w:styleId="a4">
    <w:name w:val="Hyperlink"/>
    <w:basedOn w:val="a0"/>
    <w:uiPriority w:val="99"/>
    <w:semiHidden/>
    <w:unhideWhenUsed/>
    <w:rsid w:val="005E0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E05D9"/>
  </w:style>
  <w:style w:type="character" w:styleId="a4">
    <w:name w:val="Hyperlink"/>
    <w:basedOn w:val="a0"/>
    <w:uiPriority w:val="99"/>
    <w:semiHidden/>
    <w:unhideWhenUsed/>
    <w:rsid w:val="005E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2058</Words>
  <Characters>11731</Characters>
  <Application>Microsoft Macintosh Word</Application>
  <DocSecurity>0</DocSecurity>
  <Lines>97</Lines>
  <Paragraphs>27</Paragraphs>
  <ScaleCrop>false</ScaleCrop>
  <Company>APetrova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Petrova Petrova</dc:creator>
  <cp:keywords/>
  <dc:description/>
  <cp:lastModifiedBy>Alena Petrova Petrova</cp:lastModifiedBy>
  <cp:revision>1</cp:revision>
  <dcterms:created xsi:type="dcterms:W3CDTF">2018-12-07T08:35:00Z</dcterms:created>
  <dcterms:modified xsi:type="dcterms:W3CDTF">2018-12-07T08:37:00Z</dcterms:modified>
</cp:coreProperties>
</file>